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E8" w:rsidRPr="002814F7" w:rsidRDefault="002962E8" w:rsidP="002962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 w:rsidRPr="002814F7">
        <w:rPr>
          <w:rFonts w:ascii="Arial Narrow" w:hAnsi="Arial Narrow" w:cs="Arial Narrow"/>
          <w:b/>
          <w:bCs/>
          <w:sz w:val="24"/>
          <w:szCs w:val="24"/>
        </w:rPr>
        <w:t>Application for Extractive Industry Licence – Clause 2.3 Requirements</w:t>
      </w:r>
    </w:p>
    <w:p w:rsidR="002962E8" w:rsidRPr="002814F7" w:rsidRDefault="002962E8" w:rsidP="002962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9"/>
        <w:gridCol w:w="3118"/>
        <w:gridCol w:w="2854"/>
        <w:gridCol w:w="2311"/>
      </w:tblGrid>
      <w:tr w:rsidR="002962E8" w:rsidRPr="002814F7" w:rsidTr="00C919B7">
        <w:trPr>
          <w:trHeight w:val="441"/>
        </w:trPr>
        <w:tc>
          <w:tcPr>
            <w:tcW w:w="959" w:type="dxa"/>
            <w:shd w:val="clear" w:color="auto" w:fill="808080" w:themeFill="background1" w:themeFillShade="80"/>
            <w:vAlign w:val="center"/>
          </w:tcPr>
          <w:p w:rsidR="002962E8" w:rsidRPr="002814F7" w:rsidRDefault="002962E8" w:rsidP="002814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Clause</w:t>
            </w:r>
          </w:p>
        </w:tc>
        <w:tc>
          <w:tcPr>
            <w:tcW w:w="3118" w:type="dxa"/>
            <w:shd w:val="clear" w:color="auto" w:fill="808080" w:themeFill="background1" w:themeFillShade="80"/>
            <w:vAlign w:val="center"/>
          </w:tcPr>
          <w:p w:rsidR="002962E8" w:rsidRPr="002814F7" w:rsidRDefault="002962E8" w:rsidP="002814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Requirement</w:t>
            </w:r>
          </w:p>
        </w:tc>
        <w:tc>
          <w:tcPr>
            <w:tcW w:w="2854" w:type="dxa"/>
            <w:shd w:val="clear" w:color="auto" w:fill="808080" w:themeFill="background1" w:themeFillShade="80"/>
            <w:vAlign w:val="center"/>
          </w:tcPr>
          <w:p w:rsidR="002962E8" w:rsidRPr="002814F7" w:rsidRDefault="002962E8" w:rsidP="002814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Applicant Comment</w:t>
            </w:r>
          </w:p>
        </w:tc>
        <w:tc>
          <w:tcPr>
            <w:tcW w:w="2311" w:type="dxa"/>
            <w:shd w:val="clear" w:color="auto" w:fill="808080" w:themeFill="background1" w:themeFillShade="80"/>
            <w:vAlign w:val="center"/>
          </w:tcPr>
          <w:p w:rsidR="002962E8" w:rsidRPr="002814F7" w:rsidRDefault="002962E8" w:rsidP="002814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Administration Response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2962E8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Cs/>
                <w:sz w:val="20"/>
                <w:szCs w:val="20"/>
              </w:rPr>
              <w:t>2.3 (1) (a)</w:t>
            </w:r>
          </w:p>
        </w:tc>
        <w:tc>
          <w:tcPr>
            <w:tcW w:w="3118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3 copies of a plan of the excavation site to a scale of between 1:500 and 1:2000 showing -</w:t>
            </w:r>
          </w:p>
        </w:tc>
        <w:tc>
          <w:tcPr>
            <w:tcW w:w="2854" w:type="dxa"/>
          </w:tcPr>
          <w:p w:rsidR="002962E8" w:rsidRPr="002814F7" w:rsidRDefault="00B414EA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Cs/>
                <w:sz w:val="20"/>
                <w:szCs w:val="20"/>
              </w:rPr>
              <w:t>-</w:t>
            </w:r>
          </w:p>
        </w:tc>
        <w:tc>
          <w:tcPr>
            <w:tcW w:w="2311" w:type="dxa"/>
          </w:tcPr>
          <w:p w:rsidR="00314613" w:rsidRPr="002814F7" w:rsidRDefault="00314613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314613" w:rsidRPr="002814F7" w:rsidRDefault="00314613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Cs/>
                <w:sz w:val="20"/>
                <w:szCs w:val="20"/>
              </w:rPr>
              <w:t>Scale provided is 1:50,000.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Cs/>
                <w:sz w:val="20"/>
                <w:szCs w:val="20"/>
              </w:rPr>
              <w:t xml:space="preserve">Whilst recognising large size of the proposal, the </w:t>
            </w:r>
            <w:r w:rsidR="00B414EA" w:rsidRPr="002814F7">
              <w:rPr>
                <w:rFonts w:ascii="Arial Narrow" w:hAnsi="Arial Narrow" w:cs="Arial"/>
                <w:bCs/>
                <w:sz w:val="20"/>
                <w:szCs w:val="20"/>
              </w:rPr>
              <w:t xml:space="preserve">map </w:t>
            </w:r>
            <w:r w:rsidRPr="002814F7">
              <w:rPr>
                <w:rFonts w:ascii="Arial Narrow" w:hAnsi="Arial Narrow" w:cs="Arial"/>
                <w:bCs/>
                <w:sz w:val="20"/>
                <w:szCs w:val="20"/>
              </w:rPr>
              <w:t>scale is insufficient to determine the proposed excavation area in any reliable detail.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2962E8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Cs/>
                <w:sz w:val="20"/>
                <w:szCs w:val="20"/>
              </w:rPr>
              <w:t>...(</w:t>
            </w:r>
            <w:proofErr w:type="spellStart"/>
            <w:r w:rsidRPr="002814F7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  <w:proofErr w:type="spellEnd"/>
            <w:r w:rsidRPr="002814F7">
              <w:rPr>
                <w:rFonts w:ascii="Arial Narrow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The existing and proposed land 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>c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ontours based on the Australian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Height Datum and plotted at 1 metre contour intervals;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854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figure 2.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2814F7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814F7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Cs/>
                <w:sz w:val="20"/>
                <w:szCs w:val="20"/>
              </w:rPr>
              <w:t>Contours not provided.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2962E8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...(ii)</w:t>
            </w:r>
          </w:p>
        </w:tc>
        <w:tc>
          <w:tcPr>
            <w:tcW w:w="3118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land on which the excavation site is to be located;</w:t>
            </w:r>
          </w:p>
        </w:tc>
        <w:tc>
          <w:tcPr>
            <w:tcW w:w="2854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2.1 and figure 1.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Cs/>
                <w:sz w:val="20"/>
                <w:szCs w:val="20"/>
              </w:rPr>
              <w:t>Compliant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2962E8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...(iii)</w:t>
            </w:r>
          </w:p>
        </w:tc>
        <w:tc>
          <w:tcPr>
            <w:tcW w:w="3118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external surface dimensions of the land;</w:t>
            </w:r>
          </w:p>
        </w:tc>
        <w:tc>
          <w:tcPr>
            <w:tcW w:w="2854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2.1 and figure 1.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2962E8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...(iv)</w:t>
            </w:r>
          </w:p>
        </w:tc>
        <w:tc>
          <w:tcPr>
            <w:tcW w:w="3118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location and depth of the existing and proposed excavation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of the land;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854" w:type="dxa"/>
          </w:tcPr>
          <w:p w:rsidR="002962E8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2.1 and 3.2.</w:t>
            </w:r>
          </w:p>
          <w:p w:rsidR="00C919B7" w:rsidRPr="002814F7" w:rsidRDefault="00C919B7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2962E8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Excavation area: 401.6099 ha</w:t>
            </w:r>
          </w:p>
          <w:p w:rsidR="00C919B7" w:rsidRPr="002814F7" w:rsidRDefault="00C919B7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Depth of excavation area: 2 to 6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>m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814F7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Actual excavation area, including distance from adjacent property boundaries, cannot be determined at scale provided.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2962E8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...(v)</w:t>
            </w:r>
          </w:p>
        </w:tc>
        <w:tc>
          <w:tcPr>
            <w:tcW w:w="3118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location of existing and proposed thoroughfares or other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means of vehicle access to and egress from the land and to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public thoroughfares in the vicinity of the land;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854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3.5.1 and figure 7.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"/>
                <w:bCs/>
                <w:sz w:val="20"/>
                <w:szCs w:val="20"/>
              </w:rPr>
              <w:t>Compliant</w:t>
            </w:r>
          </w:p>
          <w:p w:rsidR="002814F7" w:rsidRPr="002814F7" w:rsidRDefault="002814F7" w:rsidP="002814F7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br/>
              <w:t>However, scale not effective to determine setback of internal roads from adjacent property boundaries.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2962E8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...(vi)</w:t>
            </w:r>
          </w:p>
        </w:tc>
        <w:tc>
          <w:tcPr>
            <w:tcW w:w="3118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location of buildings, treatment plant, tanks and other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2814F7">
              <w:rPr>
                <w:rFonts w:ascii="Arial Narrow" w:hAnsi="Arial Narrow" w:cs="Arial Narrow"/>
                <w:sz w:val="20"/>
                <w:szCs w:val="20"/>
              </w:rPr>
              <w:t>improvement</w:t>
            </w:r>
            <w:r w:rsidR="002814F7" w:rsidRPr="002814F7">
              <w:rPr>
                <w:rFonts w:ascii="Arial Narrow" w:hAnsi="Arial Narrow" w:cs="Arial Narrow"/>
                <w:sz w:val="20"/>
                <w:szCs w:val="20"/>
              </w:rPr>
              <w:t>s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 and developments existing on, 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pproved for or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proposed in respect of the land;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854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3.4 and figure 6.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Compliant</w:t>
            </w:r>
          </w:p>
          <w:p w:rsid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814F7" w:rsidRPr="002814F7" w:rsidRDefault="002814F7" w:rsidP="002814F7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No buildings proposed. All </w:t>
            </w:r>
            <w:proofErr w:type="gramStart"/>
            <w:r>
              <w:rPr>
                <w:rFonts w:ascii="Arial Narrow" w:hAnsi="Arial Narrow" w:cs="Arial"/>
                <w:bCs/>
                <w:sz w:val="20"/>
                <w:szCs w:val="20"/>
              </w:rPr>
              <w:t>infrastructure</w:t>
            </w:r>
            <w:proofErr w:type="gram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relocated on regular basis across mine pit.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2962E8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...(vii)</w:t>
            </w:r>
          </w:p>
        </w:tc>
        <w:tc>
          <w:tcPr>
            <w:tcW w:w="3118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location of existing power lines, telephone cables and any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associated poles or pylons, sewers, pipelines, reserves, bridges,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railway lines and registered grants of easement or other</w:t>
            </w:r>
          </w:p>
          <w:p w:rsidR="002962E8" w:rsidRPr="002814F7" w:rsidRDefault="002962E8" w:rsidP="00C919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encumbrances over, on, under or 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djacent to or in the vicinity of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the land;</w:t>
            </w:r>
          </w:p>
        </w:tc>
        <w:tc>
          <w:tcPr>
            <w:tcW w:w="2854" w:type="dxa"/>
          </w:tcPr>
          <w:p w:rsidR="002962E8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existing powerlines have been</w:t>
            </w:r>
            <w:r w:rsidR="002814F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removed from the excavation area.</w:t>
            </w:r>
          </w:p>
          <w:p w:rsidR="00B74723" w:rsidRPr="002814F7" w:rsidRDefault="00B74723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figure 2.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814F7" w:rsidRPr="002814F7" w:rsidRDefault="002814F7" w:rsidP="002814F7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Scale insufficient to determine location of infrastructure and where excluded from excavation area.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2962E8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...(viii)</w:t>
            </w:r>
          </w:p>
        </w:tc>
        <w:tc>
          <w:tcPr>
            <w:tcW w:w="3118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The location of all existing dams, 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>w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atercourses, drains or sumps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on or adjacent to the land;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figure 2.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Figure 2 does not map watercourses, drains or sumps.</w:t>
            </w:r>
          </w:p>
          <w:p w:rsidR="002814F7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2962E8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...(ix)</w:t>
            </w:r>
          </w:p>
        </w:tc>
        <w:tc>
          <w:tcPr>
            <w:tcW w:w="3118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location and description of existing and proposed fences,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gates and warning signs around the land; and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2962E8" w:rsidRPr="002814F7" w:rsidRDefault="0017393F" w:rsidP="002814F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lastRenderedPageBreak/>
              <w:t>The location and description of gates</w:t>
            </w:r>
            <w:r w:rsidR="002814F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and warning signs will be erected in</w:t>
            </w:r>
            <w:r w:rsidR="002814F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accordance with the </w:t>
            </w:r>
            <w:r w:rsidRPr="002814F7">
              <w:rPr>
                <w:rFonts w:ascii="Arial Narrow" w:hAnsi="Arial Narrow" w:cs="Arial Narrow"/>
                <w:i/>
                <w:iCs/>
                <w:sz w:val="20"/>
                <w:szCs w:val="20"/>
              </w:rPr>
              <w:lastRenderedPageBreak/>
              <w:t>Mines Safety and</w:t>
            </w:r>
            <w:r w:rsidR="002814F7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Inspection Act.</w:t>
            </w:r>
          </w:p>
        </w:tc>
        <w:tc>
          <w:tcPr>
            <w:tcW w:w="2311" w:type="dxa"/>
          </w:tcPr>
          <w:p w:rsidR="002962E8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Non compliant</w:t>
            </w:r>
          </w:p>
          <w:p w:rsid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814F7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Information not provided.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17393F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lastRenderedPageBreak/>
              <w:t>...(x)</w:t>
            </w:r>
          </w:p>
        </w:tc>
        <w:tc>
          <w:tcPr>
            <w:tcW w:w="3118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location of the areas proposed to be used for stockpiling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excavated material, treated material, overburden and soil storage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on the land and elsewhere;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stockpiling of excavated material</w:t>
            </w:r>
            <w:r w:rsidR="002814F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will be within the Shire of Murray and</w:t>
            </w:r>
            <w:r w:rsidR="002814F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not subject to this application.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814F7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Locations of stockpiling, for example topsoil, are not provided.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17393F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2.3(1)(b)</w:t>
            </w:r>
          </w:p>
        </w:tc>
        <w:tc>
          <w:tcPr>
            <w:tcW w:w="3118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3 copies of a works and excavation programme containing -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2962E8" w:rsidRPr="002814F7" w:rsidRDefault="00C919B7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1" w:type="dxa"/>
          </w:tcPr>
          <w:p w:rsidR="002962E8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814F7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 works and excavation programme was not provided, with cursory discussion only provided in the application.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17393F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</w:t>
            </w:r>
            <w:proofErr w:type="spellStart"/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i</w:t>
            </w:r>
            <w:proofErr w:type="spellEnd"/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nature and estimated duration of the proposed excavation</w:t>
            </w:r>
            <w:r w:rsidR="002814F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for which the licence is applied;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3.2 of this report.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Compliant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17393F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...(ii)</w:t>
            </w:r>
          </w:p>
        </w:tc>
        <w:tc>
          <w:tcPr>
            <w:tcW w:w="3118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stages and the timing of the stages in which it is proposed to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carry out the excavation;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3.2 of this report.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814F7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No information provided on the actual location and timing of stages – only </w:t>
            </w:r>
            <w:proofErr w:type="gramStart"/>
            <w:r>
              <w:rPr>
                <w:rFonts w:ascii="Arial Narrow" w:hAnsi="Arial Narrow" w:cs="Arial"/>
                <w:bCs/>
                <w:sz w:val="20"/>
                <w:szCs w:val="20"/>
              </w:rPr>
              <w:t>that</w:t>
            </w:r>
            <w:proofErr w:type="gram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staged approach will be taken.</w:t>
            </w:r>
          </w:p>
        </w:tc>
      </w:tr>
      <w:tr w:rsidR="002962E8" w:rsidRPr="002814F7" w:rsidTr="00C919B7">
        <w:tc>
          <w:tcPr>
            <w:tcW w:w="959" w:type="dxa"/>
          </w:tcPr>
          <w:p w:rsidR="002962E8" w:rsidRPr="002814F7" w:rsidRDefault="0017393F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...(iii)</w:t>
            </w:r>
          </w:p>
        </w:tc>
        <w:tc>
          <w:tcPr>
            <w:tcW w:w="3118" w:type="dxa"/>
          </w:tcPr>
          <w:p w:rsidR="002962E8" w:rsidRPr="002814F7" w:rsidRDefault="0017393F" w:rsidP="00C919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Details of the methods to be employed in the proposed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excavation and a description of any on-site processing works;</w:t>
            </w:r>
          </w:p>
        </w:tc>
        <w:tc>
          <w:tcPr>
            <w:tcW w:w="2854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3.3 of this report.</w:t>
            </w:r>
          </w:p>
          <w:p w:rsidR="002962E8" w:rsidRPr="002814F7" w:rsidRDefault="002962E8" w:rsidP="002962E8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2962E8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Compliant</w:t>
            </w:r>
          </w:p>
        </w:tc>
      </w:tr>
      <w:tr w:rsidR="0017393F" w:rsidRPr="002814F7" w:rsidTr="00C919B7">
        <w:tc>
          <w:tcPr>
            <w:tcW w:w="959" w:type="dxa"/>
          </w:tcPr>
          <w:p w:rsidR="0017393F" w:rsidRPr="002814F7" w:rsidRDefault="0017393F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...(iv)</w:t>
            </w:r>
          </w:p>
        </w:tc>
        <w:tc>
          <w:tcPr>
            <w:tcW w:w="3118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Details of the depth and extent of the existing and proposed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excavation of the site;</w:t>
            </w: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17393F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2.1 and 3.2.</w:t>
            </w:r>
          </w:p>
          <w:p w:rsidR="00B74723" w:rsidRPr="002814F7" w:rsidRDefault="00B74723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Excavation area: 401.6099 ha</w:t>
            </w: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Depth of excavation area: 2 to 6</w:t>
            </w:r>
            <w:r w:rsidR="002814F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m.</w:t>
            </w: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17393F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</w:t>
            </w:r>
            <w:r w:rsidRPr="002814F7">
              <w:rPr>
                <w:rFonts w:ascii="Arial Narrow" w:hAnsi="Arial Narrow" w:cs="Arial"/>
                <w:b/>
                <w:bCs/>
                <w:sz w:val="20"/>
                <w:szCs w:val="20"/>
              </w:rPr>
              <w:t>ompliant</w:t>
            </w:r>
          </w:p>
          <w:p w:rsid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2814F7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No contours are shown to demonstrate where depth varies across the site.</w:t>
            </w:r>
          </w:p>
        </w:tc>
      </w:tr>
      <w:tr w:rsidR="0017393F" w:rsidRPr="002814F7" w:rsidTr="00C919B7">
        <w:tc>
          <w:tcPr>
            <w:tcW w:w="959" w:type="dxa"/>
          </w:tcPr>
          <w:p w:rsidR="0017393F" w:rsidRPr="002814F7" w:rsidRDefault="0017393F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...(v)</w:t>
            </w:r>
          </w:p>
        </w:tc>
        <w:tc>
          <w:tcPr>
            <w:tcW w:w="3118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An estimate of the depth of and description of the nature and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quantity of the overburden to be removed;</w:t>
            </w: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17393F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Only 2.7% of the material mined is</w:t>
            </w:r>
            <w:r w:rsidR="002814F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removed from site.</w:t>
            </w:r>
          </w:p>
          <w:p w:rsidR="00B74723" w:rsidRPr="002814F7" w:rsidRDefault="00B74723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3.2 of this report.</w:t>
            </w: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17393F" w:rsidRPr="002814F7" w:rsidRDefault="002814F7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Compliant</w:t>
            </w:r>
          </w:p>
        </w:tc>
      </w:tr>
      <w:tr w:rsidR="0017393F" w:rsidRPr="002814F7" w:rsidTr="00C919B7">
        <w:tc>
          <w:tcPr>
            <w:tcW w:w="959" w:type="dxa"/>
          </w:tcPr>
          <w:p w:rsidR="0017393F" w:rsidRPr="002814F7" w:rsidRDefault="0017393F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...(vi)</w:t>
            </w:r>
          </w:p>
        </w:tc>
        <w:tc>
          <w:tcPr>
            <w:tcW w:w="3118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A description of the methods by which existing vegetation is to be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cleared and topsoil and overburden removed or stockpiled;</w:t>
            </w: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17393F" w:rsidRDefault="00B74723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Vegetation</w:t>
            </w:r>
            <w:r w:rsidR="0017393F" w:rsidRPr="002814F7">
              <w:rPr>
                <w:rFonts w:ascii="Arial Narrow" w:hAnsi="Arial Narrow" w:cs="Arial Narrow"/>
                <w:sz w:val="20"/>
                <w:szCs w:val="20"/>
              </w:rPr>
              <w:t xml:space="preserve"> to be removed by</w:t>
            </w:r>
            <w:r w:rsidR="006F70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17393F" w:rsidRPr="002814F7">
              <w:rPr>
                <w:rFonts w:ascii="Arial Narrow" w:hAnsi="Arial Narrow" w:cs="Arial Narrow"/>
                <w:sz w:val="20"/>
                <w:szCs w:val="20"/>
              </w:rPr>
              <w:t>mechanical means.</w:t>
            </w:r>
          </w:p>
          <w:p w:rsidR="00B74723" w:rsidRPr="002814F7" w:rsidRDefault="00B74723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17393F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Top soil will be stockpiled to be reused</w:t>
            </w:r>
            <w:r w:rsidR="006F70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in the rehabilitation process.</w:t>
            </w:r>
          </w:p>
          <w:p w:rsidR="00B74723" w:rsidRPr="002814F7" w:rsidRDefault="00B74723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Stockpiles will be associated with the</w:t>
            </w:r>
            <w:r w:rsidR="006F70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excavation area.</w:t>
            </w:r>
          </w:p>
        </w:tc>
        <w:tc>
          <w:tcPr>
            <w:tcW w:w="2311" w:type="dxa"/>
          </w:tcPr>
          <w:p w:rsidR="0017393F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F7046" w:rsidRP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No information regarding when and where topsoil will be removed and stockpiled.</w:t>
            </w:r>
          </w:p>
        </w:tc>
      </w:tr>
      <w:tr w:rsidR="0017393F" w:rsidRPr="002814F7" w:rsidTr="00C919B7">
        <w:tc>
          <w:tcPr>
            <w:tcW w:w="959" w:type="dxa"/>
          </w:tcPr>
          <w:p w:rsidR="0017393F" w:rsidRPr="002814F7" w:rsidRDefault="0017393F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...(vii)</w:t>
            </w:r>
          </w:p>
        </w:tc>
        <w:tc>
          <w:tcPr>
            <w:tcW w:w="3118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A description of the means of access to the excavation site and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the types of thoroughfares to be constructed;</w:t>
            </w: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3.5.1 of this report.</w:t>
            </w: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17393F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F7046" w:rsidRP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No information regarding the specific location and construction of internal roads.</w:t>
            </w:r>
          </w:p>
        </w:tc>
      </w:tr>
      <w:tr w:rsidR="0017393F" w:rsidRPr="002814F7" w:rsidTr="00C919B7">
        <w:tc>
          <w:tcPr>
            <w:tcW w:w="959" w:type="dxa"/>
          </w:tcPr>
          <w:p w:rsidR="0017393F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...(viii)</w:t>
            </w:r>
          </w:p>
        </w:tc>
        <w:tc>
          <w:tcPr>
            <w:tcW w:w="3118" w:type="dxa"/>
          </w:tcPr>
          <w:p w:rsidR="0017393F" w:rsidRPr="002814F7" w:rsidRDefault="00FB1ED2" w:rsidP="00C919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Details of the proposed number and size of trucks entering and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leaving the site each day and the route or routes to be taken by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those vehicles;</w:t>
            </w:r>
          </w:p>
        </w:tc>
        <w:tc>
          <w:tcPr>
            <w:tcW w:w="2854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3.5.1 of this report.</w:t>
            </w: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17393F" w:rsidRPr="002814F7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Compliant</w:t>
            </w:r>
          </w:p>
        </w:tc>
      </w:tr>
      <w:tr w:rsidR="0017393F" w:rsidRPr="002814F7" w:rsidTr="00C919B7">
        <w:tc>
          <w:tcPr>
            <w:tcW w:w="959" w:type="dxa"/>
          </w:tcPr>
          <w:p w:rsidR="0017393F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...(ix)</w:t>
            </w:r>
          </w:p>
        </w:tc>
        <w:tc>
          <w:tcPr>
            <w:tcW w:w="3118" w:type="dxa"/>
          </w:tcPr>
          <w:p w:rsidR="0017393F" w:rsidRPr="002814F7" w:rsidRDefault="00FB1ED2" w:rsidP="00C919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A description of any proposed 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>b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uildings, treatment plant, tanks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and other improvements;</w:t>
            </w:r>
          </w:p>
        </w:tc>
        <w:tc>
          <w:tcPr>
            <w:tcW w:w="2854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3.4 of this report.</w:t>
            </w: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17393F" w:rsidRPr="002814F7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Compliant</w:t>
            </w:r>
          </w:p>
        </w:tc>
      </w:tr>
      <w:tr w:rsidR="0017393F" w:rsidRPr="002814F7" w:rsidTr="00C919B7">
        <w:tc>
          <w:tcPr>
            <w:tcW w:w="959" w:type="dxa"/>
          </w:tcPr>
          <w:p w:rsidR="0017393F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lastRenderedPageBreak/>
              <w:t>...(x)</w:t>
            </w:r>
          </w:p>
        </w:tc>
        <w:tc>
          <w:tcPr>
            <w:tcW w:w="3118" w:type="dxa"/>
          </w:tcPr>
          <w:p w:rsidR="0017393F" w:rsidRPr="002814F7" w:rsidRDefault="00FB1ED2" w:rsidP="00C919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Details of drainage conditions applicable to the land and methods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by which the excavation site is to be kept drained;</w:t>
            </w:r>
          </w:p>
        </w:tc>
        <w:tc>
          <w:tcPr>
            <w:tcW w:w="2854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3.8 of this report.</w:t>
            </w:r>
          </w:p>
          <w:p w:rsidR="0017393F" w:rsidRPr="002814F7" w:rsidRDefault="0017393F" w:rsidP="001739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6F7046" w:rsidRDefault="006F7046" w:rsidP="006F7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6F7046" w:rsidRDefault="006F7046" w:rsidP="006F7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17393F" w:rsidRPr="002814F7" w:rsidRDefault="006F7046" w:rsidP="006F7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Detail not provided.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...(xi)</w:t>
            </w:r>
          </w:p>
        </w:tc>
        <w:tc>
          <w:tcPr>
            <w:tcW w:w="3118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A description of the measures to be taken to minimise dust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nuisance, erosion, watercourse siltation and dangers to the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general public;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the following sections for a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range of matters: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3.5.2 Noise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3.5.3 Blasting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3.5.4 Dust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3.5.5 Odour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3.5.6 Flora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3.5.7 Fauna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3.6 Water Resources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3.9 Visual amenity</w:t>
            </w:r>
          </w:p>
        </w:tc>
        <w:tc>
          <w:tcPr>
            <w:tcW w:w="2311" w:type="dxa"/>
          </w:tcPr>
          <w:p w:rsidR="00FB1ED2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F7046" w:rsidRP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Final management plans not provided.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...(xii)</w:t>
            </w:r>
          </w:p>
        </w:tc>
        <w:tc>
          <w:tcPr>
            <w:tcW w:w="3118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A description of the measures to be taken to comply with the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Environmental Protection (Noise) Regulations 1997;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Refer to the </w:t>
            </w:r>
            <w:r w:rsidR="006F7046" w:rsidRPr="002814F7">
              <w:rPr>
                <w:rFonts w:ascii="Arial Narrow" w:hAnsi="Arial Narrow" w:cs="Arial Narrow"/>
                <w:sz w:val="20"/>
                <w:szCs w:val="20"/>
              </w:rPr>
              <w:t>Ministerial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 Approval</w:t>
            </w:r>
            <w:r w:rsidR="006F70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appended at appendix 2.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FB1ED2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F7046" w:rsidRDefault="006F7046" w:rsidP="006F7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No staging information provided to demonstrate where noise impacts demand restricted working times.</w:t>
            </w:r>
          </w:p>
          <w:p w:rsidR="006F7046" w:rsidRPr="006F7046" w:rsidRDefault="006F7046" w:rsidP="006F7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...(xiii)</w:t>
            </w:r>
          </w:p>
        </w:tc>
        <w:tc>
          <w:tcPr>
            <w:tcW w:w="3118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A description of the existing site environment and a report on the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anticipated effect that the proposed excavation will have on the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environment in the vicinity of the land;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FB1ED2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2.4 of this report for</w:t>
            </w:r>
            <w:r w:rsidR="006F70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site environment.</w:t>
            </w:r>
          </w:p>
          <w:p w:rsidR="00B74723" w:rsidRPr="002814F7" w:rsidRDefault="00B74723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the following sections for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impacts on environment in the vicinity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of the land: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3.5.4 Dust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3.5.6 Flora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3.5.7 Fauna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3.6 Water Resources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3.9 Land Use Impacts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SymbolMT" w:hAnsi="SymbolMT" w:cs="SymbolMT"/>
                <w:sz w:val="20"/>
                <w:szCs w:val="20"/>
              </w:rPr>
              <w:t xml:space="preserve">•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Section 3.10 Visual amenity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FB1ED2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Detailed management plans not provided.</w:t>
            </w:r>
          </w:p>
          <w:p w:rsidR="006F7046" w:rsidRP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br/>
              <w:t>See consultant reviews regarding specific issues.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...(xiv)</w:t>
            </w:r>
          </w:p>
        </w:tc>
        <w:tc>
          <w:tcPr>
            <w:tcW w:w="3118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Details of the nature of existing vegetation, shrubs and trees and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 description of measures to be taken to minimise the destruction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of existing vegetation; and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3.5.6 of this report.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FB1ED2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F7046" w:rsidRP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Insufficient detail provided, for example location of revegetated linkage and any significant trees or vegetation to be excluded from excavation area.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...(xv)</w:t>
            </w:r>
          </w:p>
        </w:tc>
        <w:tc>
          <w:tcPr>
            <w:tcW w:w="3118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A description of the measures to be taken in screening the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excavation site, or otherwise minimising adverse visual impacts,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from nearby thoroughfares or other areas;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section 3.10 of this report.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FB1ED2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See visual impact review.</w:t>
            </w: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F7046" w:rsidRP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No detail provided on location of screening efforts.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2.3(1)(c)</w:t>
            </w:r>
          </w:p>
        </w:tc>
        <w:tc>
          <w:tcPr>
            <w:tcW w:w="3118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3 copies of a rehabilitation and decommissioning programme indicating -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FB1ED2" w:rsidRPr="002814F7" w:rsidRDefault="00C919B7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1" w:type="dxa"/>
          </w:tcPr>
          <w:p w:rsidR="00FB1ED2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No rehabilitation and decommissioning programme provided.</w:t>
            </w:r>
          </w:p>
          <w:p w:rsidR="006F7046" w:rsidRPr="006F7046" w:rsidRDefault="006F7046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</w:t>
            </w:r>
            <w:proofErr w:type="spellStart"/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i</w:t>
            </w:r>
            <w:proofErr w:type="spellEnd"/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objective of the programme, having due regard to the nature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of the surrounding area and the proposed end-use of the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excavation site;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FB1ED2" w:rsidRPr="002814F7" w:rsidRDefault="00FB1ED2" w:rsidP="00B747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lastRenderedPageBreak/>
              <w:t>The Ministerial Approval requires the</w:t>
            </w:r>
            <w:r w:rsidR="006F70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preparation of a Rehabilitation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Management Plan to the 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equirements</w:t>
            </w:r>
            <w:r w:rsidR="006F70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of the CEO of the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lastRenderedPageBreak/>
              <w:t>Environmental</w:t>
            </w:r>
            <w:r w:rsidR="006F70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Protection Authority. The objectives of</w:t>
            </w:r>
            <w:r w:rsidR="006F70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the programme will be comprehensively</w:t>
            </w:r>
            <w:r w:rsidR="006F70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dealt with through the environmental</w:t>
            </w:r>
            <w:r w:rsidR="006F7046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assessment process.</w:t>
            </w:r>
          </w:p>
        </w:tc>
        <w:tc>
          <w:tcPr>
            <w:tcW w:w="2311" w:type="dxa"/>
          </w:tcPr>
          <w:p w:rsidR="006F7046" w:rsidRDefault="006F7046" w:rsidP="006F7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Non compliant</w:t>
            </w:r>
          </w:p>
          <w:p w:rsidR="006F7046" w:rsidRDefault="006F7046" w:rsidP="006F7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B1ED2" w:rsidRPr="002814F7" w:rsidRDefault="006F7046" w:rsidP="006F7046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Detail not provided.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lastRenderedPageBreak/>
              <w:t>...(ii)</w:t>
            </w:r>
          </w:p>
        </w:tc>
        <w:tc>
          <w:tcPr>
            <w:tcW w:w="3118" w:type="dxa"/>
          </w:tcPr>
          <w:p w:rsidR="00FB1ED2" w:rsidRPr="002814F7" w:rsidRDefault="00FB1ED2" w:rsidP="00C919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Whether restoration and </w:t>
            </w:r>
            <w:r w:rsidR="00C919B7" w:rsidRPr="002814F7">
              <w:rPr>
                <w:rFonts w:ascii="Arial Narrow" w:hAnsi="Arial Narrow" w:cs="Arial Narrow"/>
                <w:sz w:val="20"/>
                <w:szCs w:val="20"/>
              </w:rPr>
              <w:t>reinst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>a</w:t>
            </w:r>
            <w:r w:rsidR="00C919B7" w:rsidRPr="002814F7">
              <w:rPr>
                <w:rFonts w:ascii="Arial Narrow" w:hAnsi="Arial Narrow" w:cs="Arial Narrow"/>
                <w:sz w:val="20"/>
                <w:szCs w:val="20"/>
              </w:rPr>
              <w:t>tement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 of the excavation site is to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be undertaken progressively or upon completion of excavation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operations;</w:t>
            </w:r>
          </w:p>
        </w:tc>
        <w:tc>
          <w:tcPr>
            <w:tcW w:w="2854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Progressively in accordance with the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Ministerial Approval.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FB1ED2" w:rsidRPr="002814F7" w:rsidRDefault="00822375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Compliant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...(iii)</w:t>
            </w:r>
          </w:p>
        </w:tc>
        <w:tc>
          <w:tcPr>
            <w:tcW w:w="3118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How any face is to be made safe and batters sloped;</w:t>
            </w:r>
          </w:p>
        </w:tc>
        <w:tc>
          <w:tcPr>
            <w:tcW w:w="2854" w:type="dxa"/>
          </w:tcPr>
          <w:p w:rsidR="00FB1ED2" w:rsidRPr="002814F7" w:rsidRDefault="00FB1ED2" w:rsidP="00B747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excavation area will not result in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pits the mineral </w:t>
            </w:r>
            <w:proofErr w:type="gramStart"/>
            <w:r w:rsidRPr="002814F7">
              <w:rPr>
                <w:rFonts w:ascii="Arial Narrow" w:hAnsi="Arial Narrow" w:cs="Arial Narrow"/>
                <w:sz w:val="20"/>
                <w:szCs w:val="20"/>
              </w:rPr>
              <w:t>sands is</w:t>
            </w:r>
            <w:proofErr w:type="gramEnd"/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 removed from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just below the top soil.</w:t>
            </w:r>
          </w:p>
        </w:tc>
        <w:tc>
          <w:tcPr>
            <w:tcW w:w="2311" w:type="dxa"/>
          </w:tcPr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B1ED2" w:rsidRPr="002814F7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Detail not provided.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...(iv)</w:t>
            </w:r>
          </w:p>
        </w:tc>
        <w:tc>
          <w:tcPr>
            <w:tcW w:w="3118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method by which topsoil is to be replaced and revegetated;</w:t>
            </w:r>
          </w:p>
        </w:tc>
        <w:tc>
          <w:tcPr>
            <w:tcW w:w="2854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Ministerial Approval requires the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preparation of a Rehabilitation</w:t>
            </w:r>
          </w:p>
          <w:p w:rsidR="00FB1ED2" w:rsidRPr="002814F7" w:rsidRDefault="00FB1ED2" w:rsidP="00B747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Management Plan to the requirements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of the CEO of the Environmental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Protection Authority. The objectives of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the programme will be comprehensively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dealt with through the environmental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assessment process.</w:t>
            </w:r>
          </w:p>
        </w:tc>
        <w:tc>
          <w:tcPr>
            <w:tcW w:w="2311" w:type="dxa"/>
          </w:tcPr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B1ED2" w:rsidRPr="002814F7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Detail not provided.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...(v)</w:t>
            </w:r>
          </w:p>
        </w:tc>
        <w:tc>
          <w:tcPr>
            <w:tcW w:w="3118" w:type="dxa"/>
          </w:tcPr>
          <w:p w:rsidR="00FB1ED2" w:rsidRPr="002814F7" w:rsidRDefault="00FB1ED2" w:rsidP="00C919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numbers an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d types of trees and shrubs to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be planted and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other landscaping </w:t>
            </w:r>
            <w:r w:rsidR="00C919B7" w:rsidRPr="002814F7">
              <w:rPr>
                <w:rFonts w:ascii="Arial Narrow" w:hAnsi="Arial Narrow" w:cs="Arial Narrow"/>
                <w:sz w:val="20"/>
                <w:szCs w:val="20"/>
              </w:rPr>
              <w:t>features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 to be developed</w:t>
            </w:r>
          </w:p>
        </w:tc>
        <w:tc>
          <w:tcPr>
            <w:tcW w:w="2854" w:type="dxa"/>
          </w:tcPr>
          <w:p w:rsidR="00FB1ED2" w:rsidRPr="002814F7" w:rsidRDefault="00FB1ED2" w:rsidP="00B747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In accordance with the rehabilitation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management plan included in the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Ministerial Approval.</w:t>
            </w:r>
          </w:p>
        </w:tc>
        <w:tc>
          <w:tcPr>
            <w:tcW w:w="2311" w:type="dxa"/>
          </w:tcPr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B1ED2" w:rsidRPr="002814F7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Detail not provided.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...(vi)</w:t>
            </w:r>
          </w:p>
        </w:tc>
        <w:tc>
          <w:tcPr>
            <w:tcW w:w="3118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how rehabilitated areas are to be maintained; and</w:t>
            </w:r>
          </w:p>
        </w:tc>
        <w:tc>
          <w:tcPr>
            <w:tcW w:w="2854" w:type="dxa"/>
          </w:tcPr>
          <w:p w:rsidR="00FB1ED2" w:rsidRPr="002814F7" w:rsidRDefault="00FB1ED2" w:rsidP="00B747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In accordance with the rehabilitation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management plan included in the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Ministerial Approval.</w:t>
            </w:r>
          </w:p>
        </w:tc>
        <w:tc>
          <w:tcPr>
            <w:tcW w:w="2311" w:type="dxa"/>
          </w:tcPr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B1ED2" w:rsidRPr="002814F7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Detail not provided.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...(vii)</w:t>
            </w:r>
          </w:p>
        </w:tc>
        <w:tc>
          <w:tcPr>
            <w:tcW w:w="3118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programme for the removal of buildings, plant waste and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 xml:space="preserve">final site </w:t>
            </w:r>
            <w:r w:rsidR="00C919B7" w:rsidRPr="002814F7">
              <w:rPr>
                <w:rFonts w:ascii="Arial Narrow" w:hAnsi="Arial Narrow" w:cs="Arial Narrow"/>
                <w:sz w:val="20"/>
                <w:szCs w:val="20"/>
              </w:rPr>
              <w:t>cleanup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.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54" w:type="dxa"/>
          </w:tcPr>
          <w:p w:rsidR="00FB1ED2" w:rsidRPr="002814F7" w:rsidRDefault="00FB1ED2" w:rsidP="00B747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There will be no perm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>an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ent structures that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are to be removed from the excavation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area. All structures associated with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processing are located in the Shire of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Murray and are not subject to this</w:t>
            </w:r>
            <w:r w:rsidR="00B74723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approval.</w:t>
            </w:r>
          </w:p>
        </w:tc>
        <w:tc>
          <w:tcPr>
            <w:tcW w:w="2311" w:type="dxa"/>
          </w:tcPr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B1ED2" w:rsidRPr="002814F7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Detail not provided.</w:t>
            </w:r>
          </w:p>
        </w:tc>
      </w:tr>
      <w:tr w:rsidR="00822375" w:rsidRPr="002814F7" w:rsidTr="00C919B7">
        <w:tc>
          <w:tcPr>
            <w:tcW w:w="959" w:type="dxa"/>
          </w:tcPr>
          <w:p w:rsidR="00822375" w:rsidRPr="002814F7" w:rsidRDefault="00822375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2.3(1)(d)</w:t>
            </w:r>
          </w:p>
        </w:tc>
        <w:tc>
          <w:tcPr>
            <w:tcW w:w="3118" w:type="dxa"/>
          </w:tcPr>
          <w:p w:rsidR="00822375" w:rsidRPr="002814F7" w:rsidRDefault="00822375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Evidence that a datum peg has been established on the land related to a point approved by the local government on the surface of a constructed public thoroughfare or such other land in the vicinity.</w:t>
            </w:r>
          </w:p>
        </w:tc>
        <w:tc>
          <w:tcPr>
            <w:tcW w:w="2854" w:type="dxa"/>
          </w:tcPr>
          <w:p w:rsidR="00822375" w:rsidRPr="002814F7" w:rsidRDefault="00C919B7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1" w:type="dxa"/>
          </w:tcPr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822375" w:rsidRPr="002814F7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Not provided.</w:t>
            </w:r>
          </w:p>
        </w:tc>
      </w:tr>
      <w:tr w:rsidR="00822375" w:rsidRPr="002814F7" w:rsidTr="00C919B7">
        <w:tc>
          <w:tcPr>
            <w:tcW w:w="959" w:type="dxa"/>
          </w:tcPr>
          <w:p w:rsidR="00822375" w:rsidRPr="002814F7" w:rsidRDefault="00822375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2.3(1)(e)</w:t>
            </w:r>
          </w:p>
        </w:tc>
        <w:tc>
          <w:tcPr>
            <w:tcW w:w="3118" w:type="dxa"/>
          </w:tcPr>
          <w:p w:rsidR="00822375" w:rsidRDefault="00822375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 certificate from a licensed surveyor certifying the correctness of-</w:t>
            </w:r>
          </w:p>
          <w:p w:rsidR="00822375" w:rsidRDefault="00822375" w:rsidP="0082237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The plan referred to in paragraph (a); and</w:t>
            </w:r>
          </w:p>
          <w:p w:rsidR="00822375" w:rsidRPr="00822375" w:rsidRDefault="00822375" w:rsidP="0082237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The datum peg and related point referred to in paragraph (d);</w:t>
            </w:r>
          </w:p>
        </w:tc>
        <w:tc>
          <w:tcPr>
            <w:tcW w:w="2854" w:type="dxa"/>
          </w:tcPr>
          <w:p w:rsidR="00822375" w:rsidRPr="002814F7" w:rsidRDefault="00C919B7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1" w:type="dxa"/>
          </w:tcPr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822375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822375" w:rsidRPr="002814F7" w:rsidRDefault="00822375" w:rsidP="0082237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Not provided.</w:t>
            </w:r>
          </w:p>
        </w:tc>
      </w:tr>
      <w:tr w:rsidR="00822375" w:rsidRPr="002814F7" w:rsidTr="00C919B7">
        <w:tc>
          <w:tcPr>
            <w:tcW w:w="959" w:type="dxa"/>
          </w:tcPr>
          <w:p w:rsidR="00822375" w:rsidRPr="002814F7" w:rsidRDefault="00822375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</w:rPr>
              <w:t>2.3(1)(f)</w:t>
            </w:r>
          </w:p>
        </w:tc>
        <w:tc>
          <w:tcPr>
            <w:tcW w:w="3118" w:type="dxa"/>
          </w:tcPr>
          <w:p w:rsidR="00822375" w:rsidRPr="002814F7" w:rsidRDefault="00822375" w:rsidP="00C919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Evidence that the requirements of clause 2.2(1) and (2) have been carried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out.</w:t>
            </w:r>
          </w:p>
        </w:tc>
        <w:tc>
          <w:tcPr>
            <w:tcW w:w="2854" w:type="dxa"/>
          </w:tcPr>
          <w:p w:rsidR="00822375" w:rsidRPr="002814F7" w:rsidRDefault="00C919B7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1" w:type="dxa"/>
          </w:tcPr>
          <w:p w:rsidR="00822375" w:rsidRDefault="00822375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Compliant.</w:t>
            </w:r>
          </w:p>
          <w:p w:rsidR="00822375" w:rsidRDefault="00822375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822375" w:rsidRPr="002814F7" w:rsidRDefault="00822375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Advertising was carried out by the Shire.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2.3(1)(g)</w:t>
            </w:r>
          </w:p>
        </w:tc>
        <w:tc>
          <w:tcPr>
            <w:tcW w:w="3118" w:type="dxa"/>
          </w:tcPr>
          <w:p w:rsidR="00FB1ED2" w:rsidRPr="002814F7" w:rsidRDefault="00FB1ED2" w:rsidP="00C919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Copies of all land use planning approvals required under any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planning legislation;</w:t>
            </w:r>
          </w:p>
        </w:tc>
        <w:tc>
          <w:tcPr>
            <w:tcW w:w="2854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To be provided on approval.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FB1ED2" w:rsidRDefault="00822375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Non compliant</w:t>
            </w:r>
          </w:p>
          <w:p w:rsidR="00822375" w:rsidRDefault="00822375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822375" w:rsidRPr="00822375" w:rsidRDefault="00822375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Planning approval refused by Council in May 2010.</w:t>
            </w:r>
          </w:p>
        </w:tc>
      </w:tr>
      <w:tr w:rsidR="00FB1ED2" w:rsidRPr="002814F7" w:rsidTr="00C919B7">
        <w:tc>
          <w:tcPr>
            <w:tcW w:w="959" w:type="dxa"/>
          </w:tcPr>
          <w:p w:rsidR="00FB1ED2" w:rsidRPr="002814F7" w:rsidRDefault="00FB1ED2" w:rsidP="009036F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Cs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bCs/>
                <w:sz w:val="20"/>
                <w:szCs w:val="20"/>
              </w:rPr>
              <w:t>2.3(1)(h)</w:t>
            </w:r>
          </w:p>
        </w:tc>
        <w:tc>
          <w:tcPr>
            <w:tcW w:w="3118" w:type="dxa"/>
          </w:tcPr>
          <w:p w:rsidR="00FB1ED2" w:rsidRPr="002814F7" w:rsidRDefault="00FB1ED2" w:rsidP="00C919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The consent in writing to the application from the owner of the</w:t>
            </w:r>
            <w:r w:rsidR="00C919B7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Pr="002814F7">
              <w:rPr>
                <w:rFonts w:ascii="Arial Narrow" w:hAnsi="Arial Narrow" w:cs="Arial Narrow"/>
                <w:sz w:val="20"/>
                <w:szCs w:val="20"/>
              </w:rPr>
              <w:t>excavation site;</w:t>
            </w:r>
          </w:p>
        </w:tc>
        <w:tc>
          <w:tcPr>
            <w:tcW w:w="2854" w:type="dxa"/>
          </w:tcPr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2814F7">
              <w:rPr>
                <w:rFonts w:ascii="Arial Narrow" w:hAnsi="Arial Narrow" w:cs="Arial Narrow"/>
                <w:sz w:val="20"/>
                <w:szCs w:val="20"/>
              </w:rPr>
              <w:t>Refer to Appendix 1.</w:t>
            </w:r>
          </w:p>
          <w:p w:rsidR="00FB1ED2" w:rsidRPr="002814F7" w:rsidRDefault="00FB1ED2" w:rsidP="00FB1ED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311" w:type="dxa"/>
          </w:tcPr>
          <w:p w:rsidR="00FB1ED2" w:rsidRPr="002814F7" w:rsidRDefault="00822375" w:rsidP="002962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Compliant.</w:t>
            </w:r>
          </w:p>
        </w:tc>
      </w:tr>
    </w:tbl>
    <w:p w:rsidR="002962E8" w:rsidRPr="002814F7" w:rsidRDefault="002962E8" w:rsidP="002962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2962E8" w:rsidRPr="002814F7" w:rsidRDefault="002962E8" w:rsidP="002962E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sectPr w:rsidR="002962E8" w:rsidRPr="002814F7" w:rsidSect="00675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B6C9D"/>
    <w:multiLevelType w:val="hybridMultilevel"/>
    <w:tmpl w:val="1D4EBCA4"/>
    <w:lvl w:ilvl="0" w:tplc="4796D4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20"/>
  <w:characterSpacingControl w:val="doNotCompress"/>
  <w:compat/>
  <w:rsids>
    <w:rsidRoot w:val="002962E8"/>
    <w:rsid w:val="00151E2A"/>
    <w:rsid w:val="0017393F"/>
    <w:rsid w:val="002814F7"/>
    <w:rsid w:val="002962E8"/>
    <w:rsid w:val="00314613"/>
    <w:rsid w:val="00672801"/>
    <w:rsid w:val="0067569B"/>
    <w:rsid w:val="006F7046"/>
    <w:rsid w:val="007D490B"/>
    <w:rsid w:val="00822375"/>
    <w:rsid w:val="009036F9"/>
    <w:rsid w:val="00AB2A0A"/>
    <w:rsid w:val="00B414EA"/>
    <w:rsid w:val="00B74723"/>
    <w:rsid w:val="00C919B7"/>
    <w:rsid w:val="00FB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2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cmurphy</dc:creator>
  <cp:keywords/>
  <dc:description/>
  <cp:lastModifiedBy>cmurphy</cp:lastModifiedBy>
  <cp:revision>7</cp:revision>
  <dcterms:created xsi:type="dcterms:W3CDTF">2010-05-12T05:13:00Z</dcterms:created>
  <dcterms:modified xsi:type="dcterms:W3CDTF">2010-05-12T07:39:00Z</dcterms:modified>
</cp:coreProperties>
</file>